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rFonts w:ascii="Arial" w:hAnsi="Arial" w:cs="Arial"/>
          <w:b/>
          <w:color w:val="C0504D" w:themeColor="accent2"/>
          <w:szCs w:val="28"/>
        </w:rPr>
      </w:pPr>
      <w:r>
        <w:rPr>
          <w:rFonts w:ascii="Arial" w:hAnsi="Arial" w:cs="Arial"/>
          <w:b/>
          <w:color w:val="C0504D" w:themeColor="accent2"/>
          <w:szCs w:val="28"/>
        </w:rPr>
        <w:t xml:space="preserve">Bitte beachten Sie die Sperrfrist bis Freitag, </w:t>
      </w:r>
    </w:p>
    <w:p>
      <w:pPr>
        <w:rPr>
          <w:rFonts w:ascii="Arial" w:hAnsi="Arial" w:cs="Arial"/>
          <w:b/>
          <w:color w:val="C0504D" w:themeColor="accent2"/>
          <w:szCs w:val="28"/>
          <w:lang w:val="en-US"/>
        </w:rPr>
      </w:pPr>
      <w:r>
        <w:rPr>
          <w:rFonts w:ascii="Arial" w:hAnsi="Arial" w:cs="Arial"/>
          <w:b/>
          <w:color w:val="C0504D" w:themeColor="accent2"/>
          <w:szCs w:val="28"/>
          <w:lang w:val="en-US"/>
        </w:rPr>
        <w:t xml:space="preserve">7. </w:t>
      </w:r>
      <w:proofErr w:type="spellStart"/>
      <w:r>
        <w:rPr>
          <w:rFonts w:ascii="Arial" w:hAnsi="Arial" w:cs="Arial"/>
          <w:b/>
          <w:color w:val="C0504D" w:themeColor="accent2"/>
          <w:szCs w:val="28"/>
          <w:lang w:val="en-US"/>
        </w:rPr>
        <w:t>Juni</w:t>
      </w:r>
      <w:proofErr w:type="spellEnd"/>
      <w:r>
        <w:rPr>
          <w:rFonts w:ascii="Arial" w:hAnsi="Arial" w:cs="Arial"/>
          <w:b/>
          <w:color w:val="C0504D" w:themeColor="accent2"/>
          <w:szCs w:val="28"/>
          <w:lang w:val="en-US"/>
        </w:rPr>
        <w:t xml:space="preserve"> 2024, 20 </w:t>
      </w:r>
      <w:proofErr w:type="spellStart"/>
      <w:r>
        <w:rPr>
          <w:rFonts w:ascii="Arial" w:hAnsi="Arial" w:cs="Arial"/>
          <w:b/>
          <w:color w:val="C0504D" w:themeColor="accent2"/>
          <w:szCs w:val="28"/>
          <w:lang w:val="en-US"/>
        </w:rPr>
        <w:t>Uhr</w:t>
      </w:r>
      <w:proofErr w:type="spellEnd"/>
      <w:r>
        <w:rPr>
          <w:rFonts w:ascii="Arial" w:hAnsi="Arial" w:cs="Arial"/>
          <w:b/>
          <w:color w:val="C0504D" w:themeColor="accent2"/>
          <w:szCs w:val="28"/>
          <w:lang w:val="en-US"/>
        </w:rPr>
        <w:t xml:space="preserve"> (MESZ)</w:t>
      </w:r>
    </w:p>
    <w:p>
      <w:pPr>
        <w:rPr>
          <w:rFonts w:ascii="Arial" w:hAnsi="Arial" w:cs="Arial"/>
          <w:b/>
          <w:color w:val="C0504D" w:themeColor="accent2"/>
          <w:szCs w:val="28"/>
          <w:lang w:val="en-US"/>
        </w:rPr>
      </w:pPr>
    </w:p>
    <w:p>
      <w:pPr>
        <w:rPr>
          <w:rFonts w:ascii="Arial" w:hAnsi="Arial" w:cs="Arial"/>
          <w:b/>
          <w:color w:val="C0504D" w:themeColor="accent2"/>
          <w:szCs w:val="28"/>
          <w:lang w:val="en-US"/>
        </w:rPr>
      </w:pPr>
      <w:r>
        <w:rPr>
          <w:rFonts w:ascii="Arial" w:hAnsi="Arial" w:cs="Arial"/>
          <w:b/>
          <w:bCs/>
          <w:color w:val="C0504D" w:themeColor="accent2"/>
          <w:szCs w:val="28"/>
          <w:lang w:val="en-US"/>
        </w:rPr>
        <w:t xml:space="preserve">PLEASE NOTE: embargoed until </w:t>
      </w:r>
    </w:p>
    <w:p>
      <w:pPr>
        <w:rPr>
          <w:rFonts w:ascii="Arial" w:hAnsi="Arial" w:cs="Arial"/>
          <w:b/>
          <w:color w:val="C0504D" w:themeColor="accent2"/>
          <w:szCs w:val="28"/>
          <w:lang w:val="en-US"/>
        </w:rPr>
      </w:pPr>
      <w:r>
        <w:rPr>
          <w:rFonts w:ascii="Arial" w:hAnsi="Arial" w:cs="Arial"/>
          <w:b/>
          <w:bCs/>
          <w:color w:val="C0504D" w:themeColor="accent2"/>
          <w:szCs w:val="28"/>
          <w:lang w:val="en-US"/>
        </w:rPr>
        <w:t>7</w:t>
      </w:r>
      <w:r>
        <w:rPr>
          <w:rFonts w:ascii="Arial" w:hAnsi="Arial" w:cs="Arial"/>
          <w:b/>
          <w:bCs/>
          <w:color w:val="C0504D" w:themeColor="accent2"/>
          <w:szCs w:val="28"/>
          <w:vertAlign w:val="superscript"/>
          <w:lang w:val="en-US"/>
        </w:rPr>
        <w:t>th</w:t>
      </w:r>
      <w:r>
        <w:rPr>
          <w:rFonts w:ascii="Arial" w:hAnsi="Arial" w:cs="Arial"/>
          <w:b/>
          <w:bCs/>
          <w:color w:val="C0504D" w:themeColor="accent2"/>
          <w:szCs w:val="28"/>
          <w:lang w:val="en-US"/>
        </w:rPr>
        <w:t xml:space="preserve"> of June 2024, 8 p.m. (central European time)</w:t>
      </w:r>
    </w:p>
    <w:p>
      <w:pPr>
        <w:rPr>
          <w:rFonts w:ascii="Arial" w:hAnsi="Arial" w:cs="Arial"/>
          <w:sz w:val="22"/>
          <w:lang w:val="en-US"/>
        </w:rPr>
      </w:pPr>
    </w:p>
    <w:p>
      <w:pPr>
        <w:rPr>
          <w:rFonts w:ascii="Arial" w:hAnsi="Arial" w:cs="Arial"/>
          <w:sz w:val="22"/>
          <w:lang w:val="en-US"/>
        </w:rPr>
      </w:pPr>
    </w:p>
    <w:p>
      <w:pPr>
        <w:rPr>
          <w:rFonts w:ascii="Arial" w:hAnsi="Arial" w:cs="Arial"/>
          <w:sz w:val="22"/>
          <w:lang w:val="en-US"/>
        </w:rPr>
      </w:pPr>
    </w:p>
    <w:p>
      <w:pPr>
        <w:framePr w:w="2835" w:h="2651" w:hRule="exact" w:hSpace="181" w:wrap="around" w:vAnchor="page" w:hAnchor="page" w:x="8330" w:y="641"/>
        <w:spacing w:line="220" w:lineRule="exact"/>
        <w:contextualSpacing/>
        <w:rPr>
          <w:rFonts w:ascii="Arial" w:eastAsia="Times New Roman" w:hAnsi="Arial" w:cs="Arial"/>
          <w:b/>
          <w:bCs/>
          <w:noProof/>
          <w:sz w:val="16"/>
          <w:szCs w:val="20"/>
          <w:lang w:eastAsia="de-DE"/>
        </w:rPr>
      </w:pPr>
      <w:r>
        <w:rPr>
          <w:rFonts w:ascii="Arial" w:eastAsia="Times New Roman" w:hAnsi="Arial" w:cs="Arial"/>
          <w:b/>
          <w:bCs/>
          <w:noProof/>
          <w:sz w:val="16"/>
          <w:szCs w:val="20"/>
          <w:lang w:eastAsia="de-DE"/>
        </w:rPr>
        <w:t>Universität Tübingen</w:t>
      </w:r>
    </w:p>
    <w:p>
      <w:pPr>
        <w:framePr w:w="2835" w:h="2651" w:hRule="exact" w:hSpace="181" w:wrap="around" w:vAnchor="page" w:hAnchor="page" w:x="8330" w:y="641"/>
        <w:spacing w:line="220" w:lineRule="exact"/>
        <w:contextualSpacing/>
        <w:rPr>
          <w:rFonts w:ascii="Arial" w:eastAsia="Times New Roman" w:hAnsi="Arial" w:cs="Arial"/>
          <w:b/>
          <w:bCs/>
          <w:noProof/>
          <w:sz w:val="16"/>
          <w:szCs w:val="20"/>
          <w:lang w:eastAsia="de-DE"/>
        </w:rPr>
      </w:pPr>
      <w:r>
        <w:rPr>
          <w:rFonts w:ascii="Arial" w:eastAsia="Times New Roman" w:hAnsi="Arial" w:cs="Arial"/>
          <w:b/>
          <w:bCs/>
          <w:noProof/>
          <w:sz w:val="16"/>
          <w:szCs w:val="20"/>
          <w:lang w:eastAsia="de-DE"/>
        </w:rPr>
        <w:t>Hochschulkommunikation</w:t>
      </w:r>
    </w:p>
    <w:p>
      <w:pPr>
        <w:framePr w:w="2835" w:h="2651" w:hRule="exact" w:hSpace="181" w:wrap="around" w:vAnchor="page" w:hAnchor="page" w:x="8330" w:y="641"/>
        <w:spacing w:line="220" w:lineRule="exact"/>
        <w:contextualSpacing/>
        <w:rPr>
          <w:rFonts w:ascii="Arial" w:eastAsia="Times New Roman" w:hAnsi="Arial" w:cs="Arial"/>
          <w:b/>
          <w:bCs/>
          <w:noProof/>
          <w:sz w:val="16"/>
          <w:szCs w:val="20"/>
          <w:lang w:eastAsia="de-DE"/>
        </w:rPr>
      </w:pPr>
    </w:p>
    <w:p>
      <w:pPr>
        <w:pStyle w:val="EKUTFachbereichInstitutLehrstuhlRot"/>
        <w:framePr w:w="2835" w:h="2651" w:hRule="exact" w:hSpace="181" w:wrap="around" w:vAnchor="page" w:hAnchor="page" w:x="8330" w:y="641"/>
        <w:rPr>
          <w:noProof/>
          <w:color w:val="auto"/>
        </w:rPr>
      </w:pPr>
      <w:r>
        <w:rPr>
          <w:noProof/>
          <w:color w:val="auto"/>
        </w:rPr>
        <w:t>Oliver Häußler</w:t>
      </w:r>
    </w:p>
    <w:p>
      <w:pPr>
        <w:pStyle w:val="EKUTFachbereichInstitutLehrstuhlRot"/>
        <w:framePr w:w="2835" w:h="2651" w:hRule="exact" w:hSpace="181" w:wrap="around" w:vAnchor="page" w:hAnchor="page" w:x="8330" w:y="641"/>
        <w:rPr>
          <w:b w:val="0"/>
          <w:noProof/>
          <w:color w:val="auto"/>
        </w:rPr>
      </w:pPr>
      <w:r>
        <w:rPr>
          <w:b w:val="0"/>
          <w:noProof/>
          <w:color w:val="auto"/>
        </w:rPr>
        <w:t>Leitung</w:t>
      </w:r>
    </w:p>
    <w:p>
      <w:pPr>
        <w:pStyle w:val="EKUTFachbereichInstitutLehrstuhlRot"/>
        <w:framePr w:w="2835" w:h="2651" w:hRule="exact" w:hSpace="181" w:wrap="around" w:vAnchor="page" w:hAnchor="page" w:x="8330" w:y="641"/>
        <w:rPr>
          <w:b w:val="0"/>
          <w:noProof/>
          <w:color w:val="auto"/>
        </w:rPr>
      </w:pPr>
    </w:p>
    <w:p>
      <w:pPr>
        <w:pStyle w:val="EKUTFachbereichInstitutLehrstuhlRot"/>
        <w:framePr w:w="2835" w:h="2651" w:hRule="exact" w:hSpace="181" w:wrap="around" w:vAnchor="page" w:hAnchor="page" w:x="8330" w:y="641"/>
        <w:rPr>
          <w:noProof/>
          <w:color w:val="auto"/>
        </w:rPr>
      </w:pPr>
      <w:r>
        <w:rPr>
          <w:noProof/>
          <w:color w:val="auto"/>
        </w:rPr>
        <w:t>Antje Karbe</w:t>
      </w:r>
    </w:p>
    <w:p>
      <w:pPr>
        <w:pStyle w:val="EKUTFachbereichInstitutLehrstuhlRot"/>
        <w:framePr w:w="2835" w:h="2651" w:hRule="exact" w:hSpace="181" w:wrap="around" w:vAnchor="page" w:hAnchor="page" w:x="8330" w:y="641"/>
        <w:rPr>
          <w:b w:val="0"/>
          <w:color w:val="auto"/>
        </w:rPr>
      </w:pPr>
      <w:r>
        <w:rPr>
          <w:b w:val="0"/>
          <w:noProof/>
          <w:color w:val="auto"/>
        </w:rPr>
        <w:t>Pressereferentin</w:t>
      </w:r>
    </w:p>
    <w:p>
      <w:pPr>
        <w:pStyle w:val="EKUTAbsenderinformationen"/>
        <w:framePr w:w="2835" w:h="2651" w:hRule="exact" w:hSpace="181" w:wrap="around" w:vAnchor="page" w:hAnchor="page" w:x="8330" w:y="641"/>
      </w:pPr>
      <w:r>
        <w:t xml:space="preserve">Telefon </w:t>
      </w:r>
      <w:r>
        <w:rPr>
          <w:noProof/>
        </w:rPr>
        <w:t>+49 7071 29-76789</w:t>
      </w:r>
    </w:p>
    <w:p>
      <w:pPr>
        <w:pStyle w:val="EKUTAbsenderinformationen"/>
        <w:framePr w:w="2835" w:h="2651" w:hRule="exact" w:hSpace="181" w:wrap="around" w:vAnchor="page" w:hAnchor="page" w:x="8330" w:y="641"/>
      </w:pPr>
      <w:proofErr w:type="spellStart"/>
      <w:proofErr w:type="gramStart"/>
      <w:r>
        <w:t>antje.karbe</w:t>
      </w:r>
      <w:proofErr w:type="spellEnd"/>
      <w:proofErr w:type="gramEnd"/>
      <w:r>
        <w:t>[at]uni-tuebingen.de</w:t>
      </w:r>
    </w:p>
    <w:p>
      <w:pPr>
        <w:framePr w:w="2835" w:h="2651" w:hRule="exact" w:hSpace="181" w:wrap="around" w:vAnchor="page" w:hAnchor="page" w:x="8330" w:y="641"/>
        <w:spacing w:line="220" w:lineRule="exact"/>
        <w:contextualSpacing/>
        <w:rPr>
          <w:rFonts w:ascii="Arial" w:eastAsia="Times New Roman" w:hAnsi="Arial" w:cs="Arial"/>
          <w:noProof/>
          <w:color w:val="000000"/>
          <w:sz w:val="16"/>
          <w:szCs w:val="20"/>
          <w:lang w:eastAsia="de-DE"/>
        </w:rPr>
      </w:pPr>
    </w:p>
    <w:p>
      <w:pPr>
        <w:framePr w:w="2835" w:h="2651" w:hRule="exact" w:hSpace="181" w:wrap="around" w:vAnchor="page" w:hAnchor="page" w:x="8330" w:y="641"/>
        <w:spacing w:line="220" w:lineRule="exact"/>
        <w:contextualSpacing/>
        <w:rPr>
          <w:rFonts w:ascii="Arial" w:eastAsia="Times New Roman" w:hAnsi="Arial" w:cs="Arial"/>
          <w:b/>
          <w:noProof/>
          <w:sz w:val="16"/>
          <w:szCs w:val="20"/>
          <w:lang w:eastAsia="de-DE"/>
        </w:rPr>
      </w:pPr>
    </w:p>
    <w:p>
      <w:pPr>
        <w:framePr w:w="2835" w:h="2651" w:hRule="exact" w:hSpace="181" w:wrap="around" w:vAnchor="page" w:hAnchor="page" w:x="8330" w:y="641"/>
        <w:spacing w:line="220" w:lineRule="exact"/>
        <w:contextualSpacing/>
        <w:rPr>
          <w:rFonts w:ascii="Arial" w:eastAsia="Times New Roman" w:hAnsi="Arial" w:cs="Arial"/>
          <w:noProof/>
          <w:sz w:val="16"/>
          <w:szCs w:val="20"/>
          <w:lang w:eastAsia="de-DE"/>
        </w:rPr>
      </w:pPr>
    </w:p>
    <w:p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Bitte beachten Sie die Quellenangaben.</w:t>
      </w:r>
    </w:p>
    <w:p>
      <w:pPr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Please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note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the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credits</w:t>
      </w:r>
      <w:proofErr w:type="spellEnd"/>
      <w:r>
        <w:rPr>
          <w:rFonts w:ascii="Arial" w:hAnsi="Arial" w:cs="Arial"/>
          <w:b/>
          <w:sz w:val="22"/>
        </w:rPr>
        <w:t>.</w:t>
      </w:r>
    </w:p>
    <w:p>
      <w:pPr>
        <w:rPr>
          <w:rFonts w:ascii="Arial" w:hAnsi="Arial" w:cs="Arial"/>
          <w:b/>
          <w:sz w:val="22"/>
        </w:rPr>
      </w:pPr>
    </w:p>
    <w:tbl>
      <w:tblPr>
        <w:tblStyle w:val="Tabellenraster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>
        <w:tc>
          <w:tcPr>
            <w:tcW w:w="9351" w:type="dxa"/>
          </w:tcPr>
          <w:p>
            <w:pPr>
              <w:rPr>
                <w:rFonts w:ascii="Arial" w:hAnsi="Arial" w:cs="Arial"/>
                <w:noProof/>
              </w:rPr>
            </w:pPr>
            <w:bookmarkStart w:id="0" w:name="_Hlk167722172"/>
            <w:r>
              <w:rPr>
                <w:noProof/>
              </w:rPr>
              <w:drawing>
                <wp:inline distT="0" distB="0" distL="0" distR="0">
                  <wp:extent cx="3213100" cy="2140058"/>
                  <wp:effectExtent l="0" t="0" r="635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7621" cy="21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9351" w:type="dxa"/>
          </w:tcPr>
          <w:p>
            <w:pPr>
              <w:rPr>
                <w:rFonts w:ascii="Arial" w:hAnsi="Arial" w:cs="Arial"/>
                <w:sz w:val="20"/>
              </w:rPr>
            </w:pPr>
          </w:p>
          <w:p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sz w:val="20"/>
              </w:rPr>
              <w:t xml:space="preserve">Der Originalzahn von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Buronius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ist nur 7,7 Millimeter groß und gibt dennoch tiefe Einblicke in seine Lebensweise vor rund 12 Millionen Jahren. </w:t>
            </w:r>
          </w:p>
          <w:p>
            <w:pPr>
              <w:pStyle w:val="Listenabsatz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The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Buronius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tooth is only 7.7 mm long, yet it provides deep insights into the ape’s way of life some 12 million years ago.</w:t>
            </w:r>
          </w:p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Photo: Berthold Steinhilber/Universität Tübingen</w:t>
            </w:r>
          </w:p>
          <w:p>
            <w:pPr>
              <w:pStyle w:val="Listenabsatz"/>
              <w:rPr>
                <w:rFonts w:ascii="Arial" w:hAnsi="Arial" w:cs="Arial"/>
                <w:noProof/>
              </w:rPr>
            </w:pPr>
          </w:p>
          <w:p>
            <w:pPr>
              <w:pStyle w:val="Listenabsatz"/>
              <w:rPr>
                <w:rFonts w:ascii="Arial" w:hAnsi="Arial" w:cs="Arial"/>
                <w:noProof/>
              </w:rPr>
            </w:pPr>
          </w:p>
          <w:p>
            <w:pPr>
              <w:pStyle w:val="Listenabsatz"/>
              <w:rPr>
                <w:rFonts w:ascii="Arial" w:hAnsi="Arial" w:cs="Arial"/>
                <w:noProof/>
              </w:rPr>
            </w:pPr>
            <w:bookmarkStart w:id="1" w:name="_GoBack"/>
            <w:bookmarkEnd w:id="1"/>
          </w:p>
          <w:p>
            <w:pPr>
              <w:pStyle w:val="Listenabsatz"/>
              <w:rPr>
                <w:rFonts w:ascii="Arial" w:hAnsi="Arial" w:cs="Arial"/>
                <w:noProof/>
              </w:rPr>
            </w:pPr>
          </w:p>
        </w:tc>
      </w:tr>
      <w:tr>
        <w:tc>
          <w:tcPr>
            <w:tcW w:w="9351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99001" cy="1572794"/>
                  <wp:effectExtent l="0" t="0" r="6350" b="889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1739" cy="1598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9351" w:type="dxa"/>
          </w:tcPr>
          <w:p>
            <w:pPr>
              <w:rPr>
                <w:rFonts w:ascii="Arial" w:hAnsi="Arial" w:cs="Arial"/>
                <w:sz w:val="22"/>
              </w:rPr>
            </w:pPr>
          </w:p>
          <w:p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Diese Zähne von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Buronius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manfredschmidi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wurden in der Hammerschmiede gefunden. Obere Reihe: zweiter oberer Backenzahn. Untere Reihe: zweiter unterer Vorbackenzahn (jeweils in verschiedenen Ansichten). Der Maßstabsbalken entspricht 10 Millimeter. </w:t>
            </w:r>
          </w:p>
          <w:p>
            <w:pPr>
              <w:ind w:left="720"/>
              <w:rPr>
                <w:rFonts w:ascii="Arial" w:hAnsi="Arial" w:cs="Arial"/>
                <w:iCs/>
                <w:sz w:val="20"/>
                <w:lang w:val="en-US"/>
              </w:rPr>
            </w:pPr>
          </w:p>
          <w:p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lang w:val="en-US"/>
              </w:rPr>
              <w:t xml:space="preserve">             Teeth of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Buronius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manfredschmidi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 xml:space="preserve">found in the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Hammerschmiede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. Upper row: second upper </w:t>
            </w:r>
          </w:p>
          <w:p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             molar. Bottom row: second lower premolar (from different angles). </w:t>
            </w:r>
            <w:r>
              <w:rPr>
                <w:rFonts w:ascii="Arial" w:hAnsi="Arial" w:cs="Arial"/>
                <w:sz w:val="20"/>
                <w:lang w:val="en-US"/>
              </w:rPr>
              <w:br/>
              <w:t xml:space="preserve">             Scale bar corresponds to 10 mm. </w:t>
            </w:r>
          </w:p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Photos: Agnes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Fatz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, Tübingen</w:t>
            </w:r>
          </w:p>
          <w:p>
            <w:pPr>
              <w:pStyle w:val="Listenabsatz"/>
              <w:rPr>
                <w:rFonts w:ascii="Arial" w:hAnsi="Arial" w:cs="Arial"/>
                <w:sz w:val="20"/>
              </w:rPr>
            </w:pPr>
          </w:p>
          <w:p>
            <w:pPr>
              <w:rPr>
                <w:rFonts w:ascii="Arial" w:hAnsi="Arial" w:cs="Arial"/>
                <w:sz w:val="16"/>
              </w:rPr>
            </w:pPr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>
                  <wp:extent cx="4006850" cy="1616298"/>
                  <wp:effectExtent l="0" t="0" r="0" b="317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0487" cy="1650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9351" w:type="dxa"/>
          </w:tcPr>
          <w:p>
            <w:pPr>
              <w:pStyle w:val="Listenabsatz"/>
              <w:rPr>
                <w:rFonts w:ascii="Arial" w:hAnsi="Arial" w:cs="Arial"/>
                <w:sz w:val="20"/>
              </w:rPr>
            </w:pPr>
          </w:p>
          <w:p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Die linke Kniescheibe von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Buronius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manfredschmidi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in drei Ansichten (A – von vorn, B – von hinten und C – von unten). Der Maßstabsbalken entspricht 10 Millimeter. </w:t>
            </w:r>
          </w:p>
          <w:p>
            <w:pPr>
              <w:pStyle w:val="Listenabsatz"/>
              <w:rPr>
                <w:rFonts w:ascii="Arial" w:hAnsi="Arial" w:cs="Arial"/>
                <w:sz w:val="20"/>
              </w:rPr>
            </w:pPr>
          </w:p>
          <w:p>
            <w:pPr>
              <w:pStyle w:val="Listenabsatz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Three views of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Buronius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manfredschmidi’s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left patella (A - from the front), B - from behind and C - from below). Scale bar corresponds to 10 mm. </w:t>
            </w:r>
          </w:p>
          <w:p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Photos: Agnes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Fatz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, Tübingen</w:t>
            </w:r>
          </w:p>
          <w:p>
            <w:pPr>
              <w:rPr>
                <w:rFonts w:ascii="Arial" w:hAnsi="Arial" w:cs="Arial"/>
                <w:sz w:val="12"/>
                <w:lang w:val="en-US"/>
              </w:rPr>
            </w:pPr>
          </w:p>
          <w:p>
            <w:pPr>
              <w:rPr>
                <w:rFonts w:ascii="Arial" w:hAnsi="Arial" w:cs="Arial"/>
                <w:sz w:val="12"/>
                <w:lang w:val="en-US"/>
              </w:rPr>
            </w:pPr>
          </w:p>
        </w:tc>
      </w:tr>
      <w:tr>
        <w:tc>
          <w:tcPr>
            <w:tcW w:w="9351" w:type="dxa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3155950" cy="2102870"/>
                  <wp:effectExtent l="0" t="0" r="635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212" cy="2157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c>
          <w:tcPr>
            <w:tcW w:w="9351" w:type="dxa"/>
          </w:tcPr>
          <w:p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2"/>
              </w:rPr>
              <w:t>Backenzähne der beiden Menschenaffen als 3D-Druck in ca. 10-facher Vergrößerung: Der sehr dünne Zahnschmelz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von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Buronius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manfredschmidi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(links) weist darauf hin, dass er Pflanzenfresser war. Der dicke Zahnschmelz von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Danuvius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guggenmosi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(rechts) lässt auf einen „Allesfresser“ schließen. </w:t>
            </w:r>
          </w:p>
          <w:p>
            <w:pPr>
              <w:ind w:left="720"/>
              <w:rPr>
                <w:rFonts w:ascii="Arial" w:hAnsi="Arial" w:cs="Arial"/>
                <w:sz w:val="20"/>
              </w:rPr>
            </w:pPr>
          </w:p>
          <w:p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              </w:t>
            </w:r>
            <w:r>
              <w:rPr>
                <w:rFonts w:ascii="Arial" w:hAnsi="Arial" w:cs="Arial"/>
                <w:sz w:val="20"/>
                <w:lang w:val="en-US"/>
              </w:rPr>
              <w:t xml:space="preserve">Molars of the two great apes as a 3D print, magnified by a factor of ten: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Buronius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                     </w:t>
            </w:r>
          </w:p>
          <w:p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manfredschmidi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tooth enamel (left) is very thin, indicating it was </w:t>
            </w:r>
            <w:proofErr w:type="gramStart"/>
            <w:r>
              <w:rPr>
                <w:rFonts w:ascii="Arial" w:hAnsi="Arial" w:cs="Arial"/>
                <w:sz w:val="20"/>
                <w:lang w:val="en-US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lang w:val="en-US"/>
              </w:rPr>
              <w:t xml:space="preserve"> herbivore. The thick tooth </w:t>
            </w:r>
          </w:p>
          <w:p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              enamel of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Danuvius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guggenmosi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(right) </w:t>
            </w:r>
            <w:proofErr w:type="gramStart"/>
            <w:r>
              <w:rPr>
                <w:rFonts w:ascii="Arial" w:hAnsi="Arial" w:cs="Arial"/>
                <w:sz w:val="20"/>
                <w:lang w:val="en-US"/>
              </w:rPr>
              <w:t>suggests  it</w:t>
            </w:r>
            <w:proofErr w:type="gramEnd"/>
            <w:r>
              <w:rPr>
                <w:rFonts w:ascii="Arial" w:hAnsi="Arial" w:cs="Arial"/>
                <w:sz w:val="20"/>
                <w:lang w:val="en-US"/>
              </w:rPr>
              <w:t xml:space="preserve"> was an omnivore.                          </w:t>
            </w:r>
          </w:p>
          <w:p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Photo: Berthold Steinhilber / University of Tübingen</w:t>
            </w:r>
          </w:p>
          <w:p>
            <w:pPr>
              <w:rPr>
                <w:rFonts w:ascii="Arial" w:hAnsi="Arial" w:cs="Arial"/>
                <w:lang w:val="en-US"/>
              </w:rPr>
            </w:pPr>
          </w:p>
        </w:tc>
      </w:tr>
      <w:tr>
        <w:tc>
          <w:tcPr>
            <w:tcW w:w="9351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4006850" cy="1616299"/>
                  <wp:effectExtent l="0" t="0" r="0" b="317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5440" cy="163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9351" w:type="dxa"/>
          </w:tcPr>
          <w:p>
            <w:pPr>
              <w:rPr>
                <w:rFonts w:ascii="Arial" w:hAnsi="Arial" w:cs="Arial"/>
                <w:sz w:val="16"/>
              </w:rPr>
            </w:pPr>
          </w:p>
          <w:p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Der Mikro-Tomographische Schnitt durch Backenzähne von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Buronius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manfredschmidi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(A – links) und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Danuvius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guggenmosi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(B – rechts) illustriert die unterschiedliche Dicke des Zahnschmelzes (helles Material). </w:t>
            </w:r>
            <w:r>
              <w:rPr>
                <w:rFonts w:ascii="Arial" w:hAnsi="Arial" w:cs="Arial"/>
                <w:sz w:val="20"/>
                <w:lang w:val="en-US"/>
              </w:rPr>
              <w:t xml:space="preserve">Der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Maßstabsbalken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entspricht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2 Millimeter. </w:t>
            </w:r>
            <w:r>
              <w:rPr>
                <w:rFonts w:ascii="Arial" w:hAnsi="Arial" w:cs="Arial"/>
                <w:sz w:val="20"/>
                <w:lang w:val="en-US"/>
              </w:rPr>
              <w:br/>
            </w:r>
          </w:p>
          <w:p>
            <w:pPr>
              <w:ind w:left="747" w:hanging="747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             Micro-tomographic section through upper molars of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Buronius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manfredschmidi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 xml:space="preserve">(A - left)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Danuvius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guggenmosi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(B - right) illustrating the different thickness of the enamel (light-colored material). Scale bar corresponds to 2 mm.</w:t>
            </w:r>
          </w:p>
          <w:p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CT sections: Gabriel Ferreira, Tübingen</w:t>
            </w:r>
          </w:p>
          <w:p>
            <w:pPr>
              <w:pStyle w:val="Listenabsatz"/>
              <w:rPr>
                <w:rFonts w:ascii="Arial" w:hAnsi="Arial" w:cs="Arial"/>
                <w:sz w:val="20"/>
                <w:lang w:val="en-US"/>
              </w:rPr>
            </w:pPr>
          </w:p>
          <w:p>
            <w:pPr>
              <w:rPr>
                <w:rFonts w:ascii="Arial" w:hAnsi="Arial" w:cs="Arial"/>
                <w:sz w:val="16"/>
                <w:lang w:val="en-US"/>
              </w:rPr>
            </w:pPr>
          </w:p>
        </w:tc>
      </w:tr>
      <w:tr>
        <w:tc>
          <w:tcPr>
            <w:tcW w:w="9351" w:type="dxa"/>
          </w:tcPr>
          <w:p>
            <w:pPr>
              <w:rPr>
                <w:rFonts w:ascii="Arial" w:hAnsi="Arial"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313785" cy="2208040"/>
                  <wp:effectExtent l="0" t="0" r="1270" b="190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3829" cy="2234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9351" w:type="dxa"/>
          </w:tcPr>
          <w:p>
            <w:pPr>
              <w:rPr>
                <w:rFonts w:ascii="Arial" w:hAnsi="Arial" w:cs="Arial"/>
                <w:noProof/>
                <w:sz w:val="16"/>
              </w:rPr>
            </w:pPr>
          </w:p>
          <w:p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noProof/>
                <w:sz w:val="16"/>
              </w:rPr>
            </w:pPr>
            <w:r>
              <w:rPr>
                <w:rFonts w:ascii="Arial" w:hAnsi="Arial" w:cs="Arial"/>
                <w:noProof/>
                <w:sz w:val="20"/>
              </w:rPr>
              <w:t xml:space="preserve">Prof. Madelaine Böhme mit 3D-Drucken der Backenzähne von </w:t>
            </w:r>
            <w:r>
              <w:rPr>
                <w:rFonts w:ascii="Arial" w:hAnsi="Arial" w:cs="Arial"/>
                <w:i/>
                <w:noProof/>
                <w:sz w:val="20"/>
              </w:rPr>
              <w:t>Buronius</w:t>
            </w:r>
            <w:r>
              <w:rPr>
                <w:rFonts w:ascii="Arial" w:hAnsi="Arial" w:cs="Arial"/>
                <w:noProof/>
                <w:sz w:val="20"/>
              </w:rPr>
              <w:t xml:space="preserve"> und </w:t>
            </w:r>
            <w:r>
              <w:rPr>
                <w:rFonts w:ascii="Arial" w:hAnsi="Arial" w:cs="Arial"/>
                <w:i/>
                <w:noProof/>
                <w:sz w:val="20"/>
              </w:rPr>
              <w:t>Danuvius</w:t>
            </w:r>
            <w:r>
              <w:rPr>
                <w:rFonts w:ascii="Arial" w:hAnsi="Arial" w:cs="Arial"/>
                <w:noProof/>
                <w:sz w:val="20"/>
              </w:rPr>
              <w:t xml:space="preserve">: In der Grabungsstätte Hammerschmiede im Allgäu stieß sie bereits auf zwei bislang unbekannte Arten ausgestorbener Menschenaffen. </w:t>
            </w:r>
          </w:p>
          <w:p>
            <w:pPr>
              <w:rPr>
                <w:rFonts w:ascii="Arial" w:hAnsi="Arial" w:cs="Arial"/>
                <w:noProof/>
                <w:sz w:val="16"/>
              </w:rPr>
            </w:pPr>
          </w:p>
          <w:p>
            <w:pPr>
              <w:ind w:left="747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Professor Madelaine Böhme with 3D prints of the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Buronius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Danuvius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molars: Böhme has discovered two previously unknown species of extinct great apes at the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Hammerschmiede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excavation site</w:t>
            </w: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.           </w:t>
            </w:r>
          </w:p>
          <w:p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Ph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oto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 Berthold Steinhilber/University of Tübingen</w:t>
            </w:r>
          </w:p>
          <w:p>
            <w:pPr>
              <w:rPr>
                <w:rFonts w:ascii="Arial" w:hAnsi="Arial" w:cs="Arial"/>
                <w:noProof/>
                <w:sz w:val="16"/>
                <w:lang w:val="en-US"/>
              </w:rPr>
            </w:pPr>
          </w:p>
          <w:p>
            <w:pPr>
              <w:rPr>
                <w:rFonts w:ascii="Arial" w:hAnsi="Arial" w:cs="Arial"/>
                <w:noProof/>
                <w:sz w:val="16"/>
                <w:lang w:val="en-US"/>
              </w:rPr>
            </w:pPr>
          </w:p>
          <w:p>
            <w:pPr>
              <w:rPr>
                <w:rFonts w:ascii="Arial" w:hAnsi="Arial" w:cs="Arial"/>
                <w:noProof/>
                <w:sz w:val="16"/>
                <w:lang w:val="en-US"/>
              </w:rPr>
            </w:pPr>
          </w:p>
        </w:tc>
      </w:tr>
      <w:tr>
        <w:tc>
          <w:tcPr>
            <w:tcW w:w="9351" w:type="dxa"/>
          </w:tcPr>
          <w:p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262579" cy="2173918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224" cy="2200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9351" w:type="dxa"/>
          </w:tcPr>
          <w:p>
            <w:pPr>
              <w:rPr>
                <w:rFonts w:ascii="Arial" w:hAnsi="Arial" w:cs="Arial"/>
                <w:noProof/>
                <w:sz w:val="16"/>
              </w:rPr>
            </w:pPr>
          </w:p>
          <w:p>
            <w:pPr>
              <w:pStyle w:val="Listenabsatz"/>
              <w:numPr>
                <w:ilvl w:val="0"/>
                <w:numId w:val="1"/>
              </w:numPr>
              <w:rPr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0"/>
              </w:rPr>
              <w:t xml:space="preserve">Prof. Madelaine Böhme </w:t>
            </w:r>
          </w:p>
          <w:p>
            <w:pPr>
              <w:pStyle w:val="Listenabsatz"/>
              <w:rPr>
                <w:noProof/>
                <w:sz w:val="22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lang w:val="en-US"/>
              </w:rPr>
              <w:t>Ph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oto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: Berthold Steinhilber/University of Tübingen</w:t>
            </w:r>
          </w:p>
        </w:tc>
      </w:tr>
      <w:bookmarkEnd w:id="0"/>
    </w:tbl>
    <w:p>
      <w:pPr>
        <w:rPr>
          <w:rFonts w:ascii="Arial" w:hAnsi="Arial" w:cs="Arial"/>
          <w:sz w:val="22"/>
          <w:lang w:val="en-US"/>
        </w:rPr>
      </w:pPr>
    </w:p>
    <w:sectPr>
      <w:headerReference w:type="first" r:id="rId15"/>
      <w:type w:val="continuous"/>
      <w:pgSz w:w="11906" w:h="16838" w:code="9"/>
      <w:pgMar w:top="1276" w:right="1841" w:bottom="567" w:left="1134" w:header="567" w:footer="680" w:gutter="0"/>
      <w:cols w:space="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EDB64B2" w16cex:dateUtc="2024-03-26T12:46:00Z"/>
  <w16cex:commentExtensible w16cex:durableId="49609C7A" w16cex:dateUtc="2024-03-26T12:58:00Z"/>
  <w16cex:commentExtensible w16cex:durableId="1778CD4F" w16cex:dateUtc="2024-03-26T13:35:00Z"/>
  <w16cex:commentExtensible w16cex:durableId="395E3B34" w16cex:dateUtc="2024-03-26T13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2E4E0B"/>
    <w:multiLevelType w:val="hybridMultilevel"/>
    <w:tmpl w:val="7E0C0E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ocumentProtection w:edit="trackedChanges" w:enforcement="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2C062CA-C0E1-44A5-8631-DC0A19DF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mbria" w:eastAsia="Cambria" w:hAnsi="Cambria"/>
      <w:sz w:val="24"/>
      <w:szCs w:val="24"/>
      <w:lang w:eastAsia="en-US"/>
    </w:rPr>
  </w:style>
  <w:style w:type="paragraph" w:styleId="berschrift1">
    <w:name w:val="heading 1"/>
    <w:basedOn w:val="Standard"/>
    <w:link w:val="berschrift1Zchn"/>
    <w:uiPriority w:val="9"/>
    <w:qFormat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pPr>
      <w:tabs>
        <w:tab w:val="center" w:pos="4536"/>
        <w:tab w:val="right" w:pos="9072"/>
      </w:tabs>
    </w:pPr>
    <w:rPr>
      <w:rFonts w:ascii="Arial" w:eastAsia="Times New Roman" w:hAnsi="Arial"/>
      <w:sz w:val="20"/>
      <w:lang w:eastAsia="de-DE"/>
    </w:rPr>
  </w:style>
  <w:style w:type="character" w:customStyle="1" w:styleId="KopfzeileZchn">
    <w:name w:val="Kopfzeile Zchn"/>
    <w:link w:val="Kopfzeile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  <w:rPr>
      <w:rFonts w:ascii="Arial" w:eastAsia="Times New Roman" w:hAnsi="Arial"/>
      <w:sz w:val="20"/>
      <w:lang w:eastAsia="de-DE"/>
    </w:rPr>
  </w:style>
  <w:style w:type="character" w:customStyle="1" w:styleId="FuzeileZchn">
    <w:name w:val="Fußzeile Zchn"/>
    <w:link w:val="Fuzeile"/>
    <w:uiPriority w:val="99"/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EKUTFakultt">
    <w:name w:val="EKUT Fakultät"/>
    <w:basedOn w:val="Standard"/>
    <w:pPr>
      <w:tabs>
        <w:tab w:val="left" w:pos="7371"/>
      </w:tabs>
      <w:spacing w:line="320" w:lineRule="exact"/>
      <w:contextualSpacing/>
    </w:pPr>
    <w:rPr>
      <w:rFonts w:ascii="Arial" w:eastAsia="Times New Roman" w:hAnsi="Arial" w:cs="Arial"/>
      <w:b/>
      <w:color w:val="A51B38"/>
      <w:lang w:eastAsia="de-DE"/>
    </w:rPr>
  </w:style>
  <w:style w:type="paragraph" w:customStyle="1" w:styleId="EKUTTextkrper">
    <w:name w:val="EKUT Textkörper"/>
    <w:basedOn w:val="Standard"/>
    <w:pPr>
      <w:spacing w:line="260" w:lineRule="exact"/>
      <w:contextualSpacing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EKUTBetreffzeile">
    <w:name w:val="EKUT Betreffzeile"/>
    <w:basedOn w:val="EKUTTextkrper"/>
    <w:rPr>
      <w:b/>
      <w:bCs/>
      <w:sz w:val="22"/>
    </w:rPr>
  </w:style>
  <w:style w:type="paragraph" w:customStyle="1" w:styleId="EKUTAdressatAnschrift">
    <w:name w:val="EKUT Adressat/Anschrift"/>
    <w:basedOn w:val="EKUTTextkrper"/>
    <w:rPr>
      <w:sz w:val="22"/>
    </w:rPr>
  </w:style>
  <w:style w:type="paragraph" w:customStyle="1" w:styleId="EKUTAbsenderinformationen">
    <w:name w:val="EKUT Absenderinformationen"/>
    <w:basedOn w:val="EKUTTextkrper"/>
    <w:pPr>
      <w:spacing w:line="220" w:lineRule="exact"/>
    </w:pPr>
    <w:rPr>
      <w:color w:val="000000"/>
      <w:sz w:val="16"/>
    </w:rPr>
  </w:style>
  <w:style w:type="paragraph" w:customStyle="1" w:styleId="EKUTFachbereichInstitutLehrstuhl">
    <w:name w:val="EKUT Fachbereich/Institut/Lehrstuhl"/>
    <w:basedOn w:val="EKUTAbsenderinformationen"/>
    <w:rPr>
      <w:b/>
      <w:bCs/>
    </w:rPr>
  </w:style>
  <w:style w:type="paragraph" w:customStyle="1" w:styleId="EKUTAdresseAbsender">
    <w:name w:val="EKUT Adresse/Absender"/>
    <w:basedOn w:val="EKUTAdressatAnschrift"/>
    <w:pPr>
      <w:spacing w:line="240" w:lineRule="auto"/>
    </w:pPr>
    <w:rPr>
      <w:sz w:val="14"/>
    </w:rPr>
  </w:style>
  <w:style w:type="character" w:customStyle="1" w:styleId="EKUTAdresseAbsenderFett">
    <w:name w:val="EKUT Adresse/Absender Fett"/>
    <w:uiPriority w:val="1"/>
    <w:rPr>
      <w:b/>
    </w:rPr>
  </w:style>
  <w:style w:type="paragraph" w:customStyle="1" w:styleId="EKUTDatumszeile">
    <w:name w:val="EKUT Datumszeile"/>
    <w:basedOn w:val="EKUTTextkrper"/>
    <w:next w:val="TEXT"/>
    <w:pPr>
      <w:spacing w:before="160"/>
    </w:pPr>
    <w:rPr>
      <w:sz w:val="22"/>
    </w:rPr>
  </w:style>
  <w:style w:type="paragraph" w:customStyle="1" w:styleId="EKUTFachbereichInstitutLehrstuhlRot">
    <w:name w:val="EKUT Fachbereich/Institut/Lehrstuhl Rot"/>
    <w:basedOn w:val="EKUTFachbereichInstitutLehrstuhl"/>
    <w:rPr>
      <w:color w:val="A51B38"/>
    </w:rPr>
  </w:style>
  <w:style w:type="paragraph" w:customStyle="1" w:styleId="TEXT">
    <w:name w:val="TEXT"/>
    <w:basedOn w:val="Standard"/>
    <w:autoRedefine/>
    <w:pPr>
      <w:spacing w:line="260" w:lineRule="exact"/>
    </w:pPr>
    <w:rPr>
      <w:rFonts w:ascii="Arial" w:eastAsia="Times New Roman" w:hAnsi="Arial" w:cs="Arial"/>
      <w:b/>
      <w:sz w:val="22"/>
      <w:lang w:eastAsia="de-DE"/>
    </w:rPr>
  </w:style>
  <w:style w:type="paragraph" w:customStyle="1" w:styleId="EKUTFusszeileFett">
    <w:name w:val="EKUT Fusszeile Fett"/>
    <w:basedOn w:val="Fuzeile"/>
    <w:link w:val="EKUTFusszeileFettZchn"/>
    <w:qFormat/>
    <w:pPr>
      <w:spacing w:before="200" w:line="180" w:lineRule="exact"/>
      <w:ind w:right="2835"/>
    </w:pPr>
    <w:rPr>
      <w:b/>
      <w:sz w:val="14"/>
      <w:szCs w:val="14"/>
    </w:rPr>
  </w:style>
  <w:style w:type="character" w:customStyle="1" w:styleId="EKUTFusszeileFettZchn">
    <w:name w:val="EKUT Fusszeile Fett Zchn"/>
    <w:link w:val="EKUTFusszeileFett"/>
    <w:rPr>
      <w:rFonts w:ascii="Arial" w:eastAsia="Times New Roman" w:hAnsi="Arial" w:cs="Times New Roman"/>
      <w:b/>
      <w:sz w:val="14"/>
      <w:szCs w:val="14"/>
      <w:lang w:eastAsia="de-DE"/>
    </w:rPr>
  </w:style>
  <w:style w:type="paragraph" w:customStyle="1" w:styleId="EKUTFusszeile">
    <w:name w:val="EKUT Fusszeile"/>
    <w:basedOn w:val="Fuzeile"/>
    <w:link w:val="EKUTFusszeileZchn"/>
    <w:qFormat/>
    <w:pPr>
      <w:tabs>
        <w:tab w:val="clear" w:pos="4536"/>
        <w:tab w:val="clear" w:pos="9072"/>
      </w:tabs>
      <w:spacing w:line="180" w:lineRule="exact"/>
      <w:ind w:right="2835"/>
    </w:pPr>
    <w:rPr>
      <w:sz w:val="14"/>
      <w:szCs w:val="14"/>
      <w:lang w:val="en-GB"/>
    </w:rPr>
  </w:style>
  <w:style w:type="character" w:customStyle="1" w:styleId="EKUTFusszeileZchn">
    <w:name w:val="EKUT Fusszeile Zchn"/>
    <w:link w:val="EKUTFusszeile"/>
    <w:rPr>
      <w:rFonts w:ascii="Arial" w:eastAsia="Times New Roman" w:hAnsi="Arial" w:cs="Times New Roman"/>
      <w:sz w:val="14"/>
      <w:szCs w:val="14"/>
      <w:lang w:val="en-GB" w:eastAsia="de-DE"/>
    </w:rPr>
  </w:style>
  <w:style w:type="paragraph" w:customStyle="1" w:styleId="KeinAbsatzformat">
    <w:name w:val="[Kein Absatzformat]"/>
    <w:pPr>
      <w:autoSpaceDE w:val="0"/>
      <w:autoSpaceDN w:val="0"/>
      <w:adjustRightInd w:val="0"/>
      <w:spacing w:line="288" w:lineRule="auto"/>
      <w:textAlignment w:val="center"/>
    </w:pPr>
    <w:rPr>
      <w:rFonts w:ascii="Times Regular" w:eastAsia="Batang" w:hAnsi="Times Regular" w:cs="Times Regular"/>
      <w:color w:val="000000"/>
      <w:sz w:val="24"/>
      <w:szCs w:val="24"/>
      <w:lang w:eastAsia="ko-KR"/>
    </w:rPr>
  </w:style>
  <w:style w:type="paragraph" w:customStyle="1" w:styleId="EinfacherAbsatz">
    <w:name w:val="[Einfacher Absatz]"/>
    <w:basedOn w:val="KeinAbsatzforma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eastAsia="Cambria" w:hAnsi="Tahoma" w:cs="Tahoma"/>
      <w:sz w:val="16"/>
      <w:szCs w:val="16"/>
      <w:lang w:eastAsia="en-US"/>
    </w:rPr>
  </w:style>
  <w:style w:type="paragraph" w:styleId="NurText">
    <w:name w:val="Plain Text"/>
    <w:basedOn w:val="Standard"/>
    <w:link w:val="NurTextZchn"/>
    <w:uiPriority w:val="99"/>
    <w:unhideWhenUsed/>
    <w:rPr>
      <w:rFonts w:ascii="Calibri" w:eastAsiaTheme="minorHAnsi" w:hAnsi="Calibri" w:cstheme="minorBid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Pr>
      <w:rFonts w:eastAsiaTheme="minorHAnsi" w:cstheme="minorBidi"/>
      <w:sz w:val="22"/>
      <w:szCs w:val="21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Cambria" w:eastAsia="Cambria" w:hAnsi="Cambria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Cambria" w:eastAsia="Cambria" w:hAnsi="Cambria"/>
      <w:b/>
      <w:bCs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rarbeitung">
    <w:name w:val="Revision"/>
    <w:hidden/>
    <w:uiPriority w:val="99"/>
    <w:semiHidden/>
    <w:rPr>
      <w:rFonts w:ascii="Cambria" w:eastAsia="Cambria" w:hAnsi="Cambria"/>
      <w:sz w:val="24"/>
      <w:szCs w:val="24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1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18/08/relationships/commentsExtensible" Target="commentsExtensi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C5A27-4EF4-43C4-823F-F08EA8216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2884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Myriam Hönig</vt:lpstr>
    </vt:vector>
  </TitlesOfParts>
  <Company>Universität Tübingen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Karbe, Antje</dc:creator>
  <cp:lastModifiedBy>Antje Karbe</cp:lastModifiedBy>
  <cp:revision>6</cp:revision>
  <cp:lastPrinted>2024-05-28T12:16:00Z</cp:lastPrinted>
  <dcterms:created xsi:type="dcterms:W3CDTF">2024-05-28T12:01:00Z</dcterms:created>
  <dcterms:modified xsi:type="dcterms:W3CDTF">2024-05-28T12:19:00Z</dcterms:modified>
</cp:coreProperties>
</file>